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8A" w:rsidRDefault="006F1667">
      <w:pPr>
        <w:rPr>
          <w:rFonts w:ascii="DM Serif Text" w:eastAsia="DM Serif Text" w:hAnsi="DM Serif Text" w:cs="DM Serif Text"/>
          <w:color w:val="0092C6"/>
          <w:sz w:val="48"/>
          <w:szCs w:val="48"/>
        </w:rPr>
      </w:pPr>
      <w:r>
        <w:rPr>
          <w:rFonts w:ascii="DM Serif Text" w:eastAsia="DM Serif Text" w:hAnsi="DM Serif Text" w:cs="DM Serif Text"/>
          <w:color w:val="0092C6"/>
          <w:sz w:val="48"/>
          <w:szCs w:val="48"/>
        </w:rPr>
        <w:t>Individual Coverage HRA</w:t>
      </w:r>
    </w:p>
    <w:p w:rsidR="00D9128A" w:rsidRDefault="00D9128A">
      <w:pP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Select your own health insurance plan and get reimbursed for monthly premiums</w:t>
      </w:r>
      <w:r w:rsidR="007B59DC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.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As part of your employer’s benefit plan, you have the option to enroll in an Individual Coverage HRA (ICHRA). This is a monthly allowance offered by your employer that can be used to reimburse your monthly </w:t>
      </w:r>
      <w:r w:rsidR="00236F72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individual 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insurance premiums. 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</w:pPr>
      <w: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  <w:t>What is an ICHRA?</w:t>
      </w:r>
    </w:p>
    <w:p w:rsidR="00D9128A" w:rsidRDefault="006F1667">
      <w:pPr>
        <w:spacing w:line="360" w:lineRule="auto"/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Your employer has given you the option to purchase your own health insurance plan and get reimbursed for your monthly premiums, up to $x through an ICHRA.</w:t>
      </w:r>
    </w:p>
    <w:p w:rsidR="00D9128A" w:rsidRDefault="00D9128A">
      <w:pPr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</w:pPr>
      <w: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  <w:t>What does the ICHRA reimburse?</w:t>
      </w:r>
    </w:p>
    <w:p w:rsidR="00D9128A" w:rsidRPr="007B59DC" w:rsidRDefault="006F1667">
      <w:pPr>
        <w:rPr>
          <w:rFonts w:ascii="Open Sans" w:eastAsia="Open Sans" w:hAnsi="Open Sans" w:cs="Open Sans"/>
          <w:color w:val="595959" w:themeColor="text1" w:themeTint="A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The ICHRA can reimburse individual insurance premiums and eligible medical expenses.</w:t>
      </w:r>
      <w:r w:rsidR="007B59DC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</w:t>
      </w:r>
      <w:r w:rsidR="007B59DC" w:rsidRPr="007B59DC">
        <w:rPr>
          <w:rFonts w:ascii="Open Sans" w:hAnsi="Open Sans" w:cs="Open Sans"/>
          <w:color w:val="595959" w:themeColor="text1" w:themeTint="A6"/>
          <w:spacing w:val="-1"/>
          <w:sz w:val="21"/>
          <w:szCs w:val="21"/>
        </w:rPr>
        <w:t xml:space="preserve">The ICHRA </w:t>
      </w:r>
      <w:r w:rsidR="007B59DC" w:rsidRPr="007B59DC">
        <w:rPr>
          <w:rFonts w:ascii="Open Sans" w:hAnsi="Open Sans" w:cs="Open Sans"/>
          <w:b/>
          <w:color w:val="595959" w:themeColor="text1" w:themeTint="A6"/>
          <w:spacing w:val="-1"/>
          <w:sz w:val="21"/>
          <w:szCs w:val="21"/>
        </w:rPr>
        <w:t>cannot</w:t>
      </w:r>
      <w:r w:rsidR="007B59DC" w:rsidRPr="007B59DC">
        <w:rPr>
          <w:rFonts w:ascii="Open Sans" w:hAnsi="Open Sans" w:cs="Open Sans"/>
          <w:color w:val="595959" w:themeColor="text1" w:themeTint="A6"/>
          <w:spacing w:val="-1"/>
          <w:sz w:val="21"/>
          <w:szCs w:val="21"/>
        </w:rPr>
        <w:t xml:space="preserve"> be used to reimburse premiums for an employer-sponsored group health plan.</w:t>
      </w:r>
    </w:p>
    <w:p w:rsidR="00D9128A" w:rsidRDefault="00D9128A">
      <w:pPr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</w:pPr>
      <w: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  <w:t>How does it work?</w:t>
      </w: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The ICHRA is simple to use and works in three steps: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b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b/>
          <w:color w:val="666666"/>
          <w:sz w:val="21"/>
          <w:szCs w:val="21"/>
          <w:highlight w:val="white"/>
        </w:rPr>
        <w:t xml:space="preserve">Step 1: 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Ask your employer what your ICHRA covers. </w:t>
      </w:r>
    </w:p>
    <w:p w:rsidR="00D9128A" w:rsidRDefault="006F1667">
      <w:pPr>
        <w:spacing w:line="360" w:lineRule="auto"/>
        <w:ind w:left="720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Your ICHRA will reimburse you up to the maximum set by your company. Some ICHRAs cover only </w:t>
      </w:r>
      <w:r w:rsidR="00236F72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individual 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insurance premiums, while others cover both premiums and qualified medical expenses. Once you know what your ICHRA covers and the reimbursement limit, then you are ready for step 2. 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b/>
          <w:color w:val="666666"/>
          <w:sz w:val="21"/>
          <w:szCs w:val="21"/>
          <w:highlight w:val="white"/>
        </w:rPr>
        <w:t>Step 2: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Choose the healthcare insurance plan you want. </w:t>
      </w:r>
    </w:p>
    <w:p w:rsidR="00D9128A" w:rsidRDefault="006F1667">
      <w:pPr>
        <w:spacing w:line="360" w:lineRule="auto"/>
        <w:ind w:left="720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If you have never shopped </w:t>
      </w:r>
      <w:r w:rsidR="009B6A69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in 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the insurance exchange marketplace before - don’t worry. We have </w:t>
      </w:r>
      <w:r w:rsidR="004D2D74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a new Employee Shopping and Enrollment Partner,</w:t>
      </w:r>
      <w:r w:rsidR="004D2D74" w:rsidRPr="004D2D74">
        <w:rPr>
          <w:rFonts w:ascii="Open Sans" w:eastAsia="Open Sans" w:hAnsi="Open Sans" w:cs="Open Sans"/>
          <w:color w:val="31849B" w:themeColor="accent5" w:themeShade="BF"/>
          <w:sz w:val="21"/>
          <w:szCs w:val="21"/>
          <w:highlight w:val="white"/>
        </w:rPr>
        <w:t xml:space="preserve"> </w:t>
      </w:r>
      <w:hyperlink r:id="rId7" w:anchor="welcome" w:history="1">
        <w:r w:rsidR="004D2D74" w:rsidRPr="004D2D74">
          <w:rPr>
            <w:rStyle w:val="Hyperlink"/>
            <w:rFonts w:ascii="Open Sans" w:eastAsia="Open Sans" w:hAnsi="Open Sans" w:cs="Open Sans"/>
            <w:color w:val="31849B" w:themeColor="accent5" w:themeShade="BF"/>
            <w:sz w:val="21"/>
            <w:szCs w:val="21"/>
            <w:highlight w:val="white"/>
          </w:rPr>
          <w:t>eHealth</w:t>
        </w:r>
      </w:hyperlink>
      <w:r w:rsidR="004D2D74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.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</w:t>
      </w:r>
      <w:r w:rsidR="0008036E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Employees will be directed to eHealth by way of their employer’s </w:t>
      </w:r>
      <w:proofErr w:type="spellStart"/>
      <w:r w:rsidR="0008036E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Ameriflex</w:t>
      </w:r>
      <w:proofErr w:type="spellEnd"/>
      <w:r w:rsidR="0008036E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ICHRA portal, where they can execute their own shopping</w:t>
      </w:r>
      <w:r w:rsidR="00100E07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and enrollment, and also take advantage of our chat </w:t>
      </w:r>
      <w:r w:rsidR="00100E07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lastRenderedPageBreak/>
        <w:t>feature.</w:t>
      </w:r>
      <w:r w:rsidR="009B6A69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</w:t>
      </w:r>
      <w:r w:rsidR="009B6A69" w:rsidRPr="009B6A69">
        <w:rPr>
          <w:rFonts w:ascii="Open Sans" w:eastAsia="Open Sans" w:hAnsi="Open Sans" w:cs="Open Sans"/>
          <w:color w:val="666666"/>
          <w:sz w:val="21"/>
          <w:szCs w:val="21"/>
        </w:rPr>
        <w:t>For IFP enrollment support, employees can call 844.834.6575. For customer support, billing, payments, renewals, and additional questions, employees can call 855.834.6448 or email their inquiries to ichra@ehealth.com.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b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b/>
          <w:color w:val="666666"/>
          <w:sz w:val="21"/>
          <w:szCs w:val="21"/>
          <w:highlight w:val="white"/>
        </w:rPr>
        <w:t>Step 3: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Pay your</w:t>
      </w:r>
      <w:r w:rsidR="00236F72"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individual </w:t>
      </w:r>
      <w:bookmarkStart w:id="0" w:name="_GoBack"/>
      <w:bookmarkEnd w:id="0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premiums each month and submit claims to </w:t>
      </w:r>
      <w:proofErr w:type="spellStart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Ameriflex</w:t>
      </w:r>
      <w:proofErr w:type="spellEnd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to get   </w:t>
      </w: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ab/>
        <w:t xml:space="preserve">  </w:t>
      </w:r>
    </w:p>
    <w:p w:rsidR="00D9128A" w:rsidRDefault="006F1667" w:rsidP="00CA13FC">
      <w:pPr>
        <w:spacing w:line="360" w:lineRule="auto"/>
        <w:ind w:left="720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reimbursed. If you have an </w:t>
      </w:r>
      <w:proofErr w:type="spellStart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Ameriflex</w:t>
      </w:r>
      <w:proofErr w:type="spellEnd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Card, it is as simple as swiping the card and submitting documentation showing proof of coverage. If you are paying for expenses out of pocket, then you will submit a claim form and documentation for reimbursement.</w:t>
      </w:r>
    </w:p>
    <w:p w:rsidR="00D9128A" w:rsidRDefault="006F1667">
      <w:pPr>
        <w:spacing w:line="360" w:lineRule="auto"/>
        <w:ind w:left="720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br/>
        <w:t>Types of proof (or substantiation) for premiums can include just about any type of official report showing:</w:t>
      </w:r>
    </w:p>
    <w:p w:rsidR="00D9128A" w:rsidRDefault="00D9128A">
      <w:pPr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numPr>
          <w:ilvl w:val="0"/>
          <w:numId w:val="1"/>
        </w:numPr>
        <w:spacing w:line="360" w:lineRule="auto"/>
        <w:ind w:left="1440"/>
        <w:rPr>
          <w:rFonts w:ascii="Open Sans" w:eastAsia="Open Sans" w:hAnsi="Open Sans" w:cs="Open Sans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Company providing the insurance</w:t>
      </w:r>
    </w:p>
    <w:p w:rsidR="00D9128A" w:rsidRDefault="006F1667">
      <w:pPr>
        <w:numPr>
          <w:ilvl w:val="0"/>
          <w:numId w:val="1"/>
        </w:numPr>
        <w:spacing w:line="360" w:lineRule="auto"/>
        <w:ind w:left="1440"/>
        <w:rPr>
          <w:rFonts w:ascii="Open Sans" w:eastAsia="Open Sans" w:hAnsi="Open Sans" w:cs="Open Sans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Person covered</w:t>
      </w:r>
    </w:p>
    <w:p w:rsidR="00D9128A" w:rsidRDefault="006F1667">
      <w:pPr>
        <w:numPr>
          <w:ilvl w:val="0"/>
          <w:numId w:val="1"/>
        </w:numPr>
        <w:spacing w:line="360" w:lineRule="auto"/>
        <w:ind w:left="1440"/>
        <w:rPr>
          <w:rFonts w:ascii="Open Sans" w:eastAsia="Open Sans" w:hAnsi="Open Sans" w:cs="Open Sans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Timeframe of coverage and,</w:t>
      </w:r>
    </w:p>
    <w:p w:rsidR="00D9128A" w:rsidRDefault="006F1667">
      <w:pPr>
        <w:numPr>
          <w:ilvl w:val="0"/>
          <w:numId w:val="1"/>
        </w:numPr>
        <w:spacing w:line="360" w:lineRule="auto"/>
        <w:ind w:left="1440"/>
        <w:rPr>
          <w:rFonts w:ascii="Open Sans" w:eastAsia="Open Sans" w:hAnsi="Open Sans" w:cs="Open Sans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Cost</w:t>
      </w:r>
    </w:p>
    <w:p w:rsidR="00D9128A" w:rsidRDefault="00D9128A">
      <w:pPr>
        <w:spacing w:line="360" w:lineRule="auto"/>
        <w:ind w:left="1080" w:hanging="360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ind w:left="1080" w:hanging="360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Types of substantiation for medical expenses can include:</w:t>
      </w:r>
    </w:p>
    <w:p w:rsidR="00D9128A" w:rsidRDefault="006F1667">
      <w:pPr>
        <w:numPr>
          <w:ilvl w:val="0"/>
          <w:numId w:val="1"/>
        </w:numPr>
        <w:spacing w:line="360" w:lineRule="auto"/>
        <w:ind w:left="1440"/>
        <w:rPr>
          <w:rFonts w:ascii="Open Sans" w:eastAsia="Open Sans" w:hAnsi="Open Sans" w:cs="Open Sans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Itemized receipt</w:t>
      </w:r>
    </w:p>
    <w:p w:rsidR="00D9128A" w:rsidRDefault="006F1667">
      <w:pPr>
        <w:numPr>
          <w:ilvl w:val="0"/>
          <w:numId w:val="1"/>
        </w:numPr>
        <w:spacing w:line="360" w:lineRule="auto"/>
        <w:ind w:left="1440"/>
        <w:rPr>
          <w:rFonts w:ascii="Open Sans" w:eastAsia="Open Sans" w:hAnsi="Open Sans" w:cs="Open Sans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Explanation of Benefits (EOB)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</w:pPr>
      <w:r>
        <w:rPr>
          <w:rFonts w:ascii="DM Serif Text" w:eastAsia="DM Serif Text" w:hAnsi="DM Serif Text" w:cs="DM Serif Text"/>
          <w:color w:val="666666"/>
          <w:sz w:val="28"/>
          <w:szCs w:val="28"/>
          <w:highlight w:val="white"/>
        </w:rPr>
        <w:t>Account Management and Customer Support</w:t>
      </w:r>
    </w:p>
    <w:p w:rsidR="00D9128A" w:rsidRDefault="00D9128A">
      <w:pPr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You can manage your account online at myameriflex.com or by downloading the </w:t>
      </w:r>
      <w:proofErr w:type="spellStart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Ameriflex</w:t>
      </w:r>
      <w:proofErr w:type="spellEnd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mobile app. Both provide easy access to your account balance, transaction history, status of reimbursements, order replacement cards, and more. 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p w:rsidR="00D9128A" w:rsidRDefault="006F1667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For account-related questions, contact the </w:t>
      </w:r>
      <w:proofErr w:type="spellStart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>Ameriflex</w:t>
      </w:r>
      <w:proofErr w:type="spellEnd"/>
      <w:r>
        <w:rPr>
          <w:rFonts w:ascii="Open Sans" w:eastAsia="Open Sans" w:hAnsi="Open Sans" w:cs="Open Sans"/>
          <w:color w:val="666666"/>
          <w:sz w:val="21"/>
          <w:szCs w:val="21"/>
          <w:highlight w:val="white"/>
        </w:rPr>
        <w:t xml:space="preserve"> Participant Services team at 888.868.3539, Monday - Friday: 7:00 AM to 8:00 PM CST and Saturday: 9:00 AM to 1:00 PM CST. </w:t>
      </w:r>
    </w:p>
    <w:p w:rsidR="00D9128A" w:rsidRDefault="00D9128A">
      <w:pPr>
        <w:spacing w:line="360" w:lineRule="auto"/>
        <w:rPr>
          <w:rFonts w:ascii="Open Sans" w:eastAsia="Open Sans" w:hAnsi="Open Sans" w:cs="Open Sans"/>
          <w:color w:val="666666"/>
          <w:sz w:val="21"/>
          <w:szCs w:val="21"/>
          <w:highlight w:val="white"/>
        </w:rPr>
      </w:pPr>
    </w:p>
    <w:sectPr w:rsidR="00D9128A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FE" w:rsidRDefault="00B755FE">
      <w:pPr>
        <w:spacing w:line="240" w:lineRule="auto"/>
      </w:pPr>
      <w:r>
        <w:separator/>
      </w:r>
    </w:p>
  </w:endnote>
  <w:endnote w:type="continuationSeparator" w:id="0">
    <w:p w:rsidR="00B755FE" w:rsidRDefault="00B75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erif Text">
    <w:altName w:val="Calibri"/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8A" w:rsidRDefault="006F1667">
    <w:pPr>
      <w:ind w:left="-1440"/>
    </w:pPr>
    <w:r>
      <w:rPr>
        <w:noProof/>
      </w:rPr>
      <w:drawing>
        <wp:inline distT="114300" distB="114300" distL="114300" distR="114300">
          <wp:extent cx="7739063" cy="59823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14" r="814"/>
                  <a:stretch>
                    <a:fillRect/>
                  </a:stretch>
                </pic:blipFill>
                <pic:spPr>
                  <a:xfrm>
                    <a:off x="0" y="0"/>
                    <a:ext cx="7739063" cy="598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FE" w:rsidRDefault="00B755FE">
      <w:pPr>
        <w:spacing w:line="240" w:lineRule="auto"/>
      </w:pPr>
      <w:r>
        <w:separator/>
      </w:r>
    </w:p>
  </w:footnote>
  <w:footnote w:type="continuationSeparator" w:id="0">
    <w:p w:rsidR="00B755FE" w:rsidRDefault="00B75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8A" w:rsidRDefault="006F1667">
    <w:pPr>
      <w:ind w:left="-1440"/>
    </w:pPr>
    <w:r>
      <w:rPr>
        <w:noProof/>
      </w:rPr>
      <w:drawing>
        <wp:inline distT="114300" distB="114300" distL="114300" distR="114300">
          <wp:extent cx="7743825" cy="4143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77" b="1877"/>
                  <a:stretch>
                    <a:fillRect/>
                  </a:stretch>
                </pic:blipFill>
                <pic:spPr>
                  <a:xfrm>
                    <a:off x="0" y="0"/>
                    <a:ext cx="7743825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7B8B"/>
    <w:multiLevelType w:val="multilevel"/>
    <w:tmpl w:val="8FECBD3C"/>
    <w:lvl w:ilvl="0">
      <w:start w:val="1"/>
      <w:numFmt w:val="bullet"/>
      <w:lvlText w:val="●"/>
      <w:lvlJc w:val="left"/>
      <w:pPr>
        <w:ind w:left="720" w:hanging="360"/>
      </w:pPr>
      <w:rPr>
        <w:color w:val="0092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8A"/>
    <w:rsid w:val="0008036E"/>
    <w:rsid w:val="00100E07"/>
    <w:rsid w:val="001B5A82"/>
    <w:rsid w:val="00236F72"/>
    <w:rsid w:val="004D2D74"/>
    <w:rsid w:val="006147BF"/>
    <w:rsid w:val="006F1667"/>
    <w:rsid w:val="007B59DC"/>
    <w:rsid w:val="009B6A69"/>
    <w:rsid w:val="00B755FE"/>
    <w:rsid w:val="00CA13FC"/>
    <w:rsid w:val="00D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D8B"/>
  <w15:docId w15:val="{0DB158E9-2F5E-4791-BCEC-9C2643B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D2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ealthinsurance.com/individual-family-health-insurance?allid=ame2649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Byas</dc:creator>
  <cp:lastModifiedBy>Taylor Byas</cp:lastModifiedBy>
  <cp:revision>3</cp:revision>
  <dcterms:created xsi:type="dcterms:W3CDTF">2024-03-04T16:53:00Z</dcterms:created>
  <dcterms:modified xsi:type="dcterms:W3CDTF">2024-03-04T19:15:00Z</dcterms:modified>
</cp:coreProperties>
</file>